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12" w:rsidRDefault="003C0612" w:rsidP="003C061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高雄市政府文書處理實施要點</w:t>
      </w:r>
    </w:p>
    <w:p w:rsidR="00463855" w:rsidRDefault="00463855">
      <w:pPr>
        <w:rPr>
          <w:rFonts w:hint="eastAsia"/>
        </w:rPr>
      </w:pPr>
    </w:p>
    <w:p w:rsidR="003C0612" w:rsidRDefault="003C0612" w:rsidP="003C0612">
      <w:pPr>
        <w:spacing w:line="500" w:lineRule="exact"/>
        <w:ind w:leftChars="67" w:left="854" w:hangingChars="200" w:hanging="640"/>
        <w:jc w:val="both"/>
        <w:rPr>
          <w:rFonts w:hint="eastAsia"/>
          <w:color w:val="0000FF"/>
        </w:rPr>
      </w:pPr>
      <w:r>
        <w:rPr>
          <w:rFonts w:hint="eastAsia"/>
          <w:bCs/>
        </w:rPr>
        <w:t>一百四十一、一般保密事項規定如下：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)各機關員工對於本機關任何文書，除經特許公開者外，應遵守公務員服務法第四條之規定，絕對保守機密，不得洩漏，退職後亦同。</w:t>
      </w:r>
    </w:p>
    <w:p w:rsidR="003C0612" w:rsidRP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(二)</w:t>
      </w:r>
      <w:r w:rsidRPr="003C0612">
        <w:rPr>
          <w:rFonts w:ascii="標楷體" w:eastAsia="標楷體" w:hAnsi="標楷體" w:hint="eastAsia"/>
          <w:bCs/>
          <w:color w:val="FF0000"/>
          <w:sz w:val="32"/>
          <w:szCs w:val="32"/>
        </w:rPr>
        <w:t>文書之處理，不得隨意散置或出示他人。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(三)各級人員經辦案件，無論何時，不得以職務上之秘密作私人談話資料。非經辦人員不得查詢業務範圍以外之公務事件。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(四)文書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之核判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、會簽、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會稿時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，不得假手本機關以外之人員，並不得交與本案有關之當事人。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(五)文書放置時，應背面向上或置於公文夾內，以防止被他人窺視。</w:t>
      </w:r>
    </w:p>
    <w:p w:rsidR="003C0612" w:rsidRP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(六)</w:t>
      </w:r>
      <w:r w:rsidRPr="003C0612">
        <w:rPr>
          <w:rFonts w:ascii="標楷體" w:eastAsia="標楷體" w:hAnsi="標楷體" w:hint="eastAsia"/>
          <w:bCs/>
          <w:color w:val="FF0000"/>
          <w:sz w:val="32"/>
          <w:szCs w:val="32"/>
        </w:rPr>
        <w:t>下班或臨時離開辦公室時，應將公文收藏於辦公桌抽屜或公文櫃內並即加鎖。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(七)各機關就其主管業務發表新聞時，應指定專人統一辦理，並須事先簽報首長核定。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(八)職務上不應知悉或不應持有之公文資料，不得探悉或持有。因職務而持有之機密文件，應保存於辦公處所，並隨時檢查。無繼續保存之必要者，應繳還原發單位；無法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繳回者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，應銷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燬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之。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(九)私人日記、通信、撰文及著作，其內容不得涉及機密及依法應保密事項。</w:t>
      </w:r>
    </w:p>
    <w:p w:rsidR="003C0612" w:rsidRDefault="003C0612" w:rsidP="003C0612">
      <w:pPr>
        <w:pStyle w:val="3"/>
        <w:spacing w:line="500" w:lineRule="exact"/>
        <w:ind w:leftChars="250" w:left="1600" w:hangingChars="250" w:hanging="80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>(十)發現他人涉有危害保密之虞時，應加勸告，其不聽勸告或已發生洩密情事者，應立即向長官報告。</w:t>
      </w:r>
    </w:p>
    <w:p w:rsidR="003C0612" w:rsidRDefault="003C0612" w:rsidP="003C0612">
      <w:pPr>
        <w:spacing w:line="500" w:lineRule="exact"/>
        <w:ind w:leftChars="250" w:left="1600" w:hangingChars="250" w:hanging="800"/>
        <w:rPr>
          <w:rFonts w:hint="eastAsia"/>
          <w:bCs/>
        </w:rPr>
      </w:pPr>
      <w:r>
        <w:rPr>
          <w:rFonts w:hint="eastAsia"/>
          <w:bCs/>
        </w:rPr>
        <w:t>(十一)承辦機密文書人員，發現承辦或保管之機密文件已洩漏、遺失或判斷可能洩漏、遺失時，應即報告所屬主管查明處理。</w:t>
      </w:r>
    </w:p>
    <w:p w:rsidR="003C0612" w:rsidRDefault="003C0612">
      <w:pPr>
        <w:rPr>
          <w:rFonts w:hint="eastAsia"/>
        </w:rPr>
      </w:pPr>
      <w:bookmarkStart w:id="0" w:name="_GoBack"/>
      <w:bookmarkEnd w:id="0"/>
    </w:p>
    <w:p w:rsidR="003C0612" w:rsidRPr="003C0612" w:rsidRDefault="003C0612" w:rsidP="003C0612">
      <w:pPr>
        <w:adjustRightInd w:val="0"/>
        <w:snapToGrid w:val="0"/>
        <w:ind w:left="954" w:hangingChars="298" w:hanging="954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一百五十七、有下列情事之</w:t>
      </w:r>
      <w:proofErr w:type="gramStart"/>
      <w:r w:rsidRPr="003C0612">
        <w:rPr>
          <w:rFonts w:hint="eastAsia"/>
          <w:kern w:val="2"/>
        </w:rPr>
        <w:t>一</w:t>
      </w:r>
      <w:proofErr w:type="gramEnd"/>
      <w:r w:rsidRPr="003C0612">
        <w:rPr>
          <w:rFonts w:hint="eastAsia"/>
          <w:kern w:val="2"/>
        </w:rPr>
        <w:t>者，</w:t>
      </w:r>
      <w:r w:rsidRPr="003C0612">
        <w:rPr>
          <w:rFonts w:hint="eastAsia"/>
          <w:color w:val="FF0000"/>
          <w:kern w:val="2"/>
        </w:rPr>
        <w:t>得專案簽報議處</w:t>
      </w:r>
      <w:r w:rsidRPr="003C0612">
        <w:rPr>
          <w:rFonts w:hint="eastAsia"/>
          <w:kern w:val="2"/>
        </w:rPr>
        <w:t xml:space="preserve">： 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（一）</w:t>
      </w:r>
      <w:r w:rsidRPr="003C0612">
        <w:rPr>
          <w:kern w:val="2"/>
        </w:rPr>
        <w:t>「登錄不確實」、「統計不確實」、「未實施各種分析」致文書流程管理原則</w:t>
      </w:r>
      <w:r w:rsidRPr="003C0612">
        <w:rPr>
          <w:rFonts w:hint="eastAsia"/>
          <w:kern w:val="2"/>
        </w:rPr>
        <w:t>未</w:t>
      </w:r>
      <w:r w:rsidRPr="003C0612">
        <w:rPr>
          <w:kern w:val="2"/>
        </w:rPr>
        <w:t>落實者。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（二）</w:t>
      </w:r>
      <w:r w:rsidRPr="003C0612">
        <w:rPr>
          <w:kern w:val="2"/>
        </w:rPr>
        <w:t>無故積壓公文情形嚴重者。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（三）</w:t>
      </w:r>
      <w:r w:rsidRPr="003C0612">
        <w:rPr>
          <w:kern w:val="2"/>
        </w:rPr>
        <w:t>損毀、棄置、遺失公文或檔案者。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（四）</w:t>
      </w:r>
      <w:r w:rsidRPr="003C0612">
        <w:rPr>
          <w:kern w:val="2"/>
        </w:rPr>
        <w:t>違反分層負責規定者。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（五）</w:t>
      </w:r>
      <w:r w:rsidRPr="003C0612">
        <w:rPr>
          <w:kern w:val="2"/>
        </w:rPr>
        <w:t>延</w:t>
      </w:r>
      <w:r w:rsidRPr="003C0612">
        <w:rPr>
          <w:rFonts w:hint="eastAsia"/>
          <w:kern w:val="2"/>
        </w:rPr>
        <w:t>誤</w:t>
      </w:r>
      <w:r w:rsidRPr="003C0612">
        <w:rPr>
          <w:kern w:val="2"/>
        </w:rPr>
        <w:t>簽收</w:t>
      </w:r>
      <w:r w:rsidRPr="003C0612">
        <w:rPr>
          <w:rFonts w:hint="eastAsia"/>
          <w:kern w:val="2"/>
        </w:rPr>
        <w:t>公文</w:t>
      </w:r>
      <w:r w:rsidRPr="003C0612">
        <w:rPr>
          <w:kern w:val="2"/>
        </w:rPr>
        <w:t>逾</w:t>
      </w:r>
      <w:r w:rsidRPr="003C0612">
        <w:rPr>
          <w:rFonts w:hint="eastAsia"/>
          <w:kern w:val="2"/>
        </w:rPr>
        <w:t>二</w:t>
      </w:r>
      <w:r w:rsidRPr="003C0612">
        <w:rPr>
          <w:kern w:val="2"/>
        </w:rPr>
        <w:t>日</w:t>
      </w:r>
      <w:r w:rsidRPr="003C0612">
        <w:rPr>
          <w:rFonts w:hint="eastAsia"/>
          <w:kern w:val="2"/>
        </w:rPr>
        <w:t>或</w:t>
      </w:r>
      <w:r w:rsidRPr="003C0612">
        <w:rPr>
          <w:kern w:val="2"/>
        </w:rPr>
        <w:t>無故拒收公文者。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（六）</w:t>
      </w:r>
      <w:proofErr w:type="gramStart"/>
      <w:r w:rsidRPr="003C0612">
        <w:rPr>
          <w:rFonts w:hint="eastAsia"/>
          <w:kern w:val="2"/>
        </w:rPr>
        <w:t>陳</w:t>
      </w:r>
      <w:r w:rsidRPr="003C0612">
        <w:rPr>
          <w:kern w:val="2"/>
        </w:rPr>
        <w:t>判公文</w:t>
      </w:r>
      <w:proofErr w:type="gramEnd"/>
      <w:r w:rsidRPr="003C0612">
        <w:rPr>
          <w:kern w:val="2"/>
        </w:rPr>
        <w:t>經</w:t>
      </w:r>
      <w:proofErr w:type="gramStart"/>
      <w:r w:rsidRPr="003C0612">
        <w:rPr>
          <w:kern w:val="2"/>
        </w:rPr>
        <w:t>查催後</w:t>
      </w:r>
      <w:proofErr w:type="gramEnd"/>
      <w:r w:rsidRPr="003C0612">
        <w:rPr>
          <w:kern w:val="2"/>
        </w:rPr>
        <w:t>仍未核</w:t>
      </w:r>
      <w:proofErr w:type="gramStart"/>
      <w:r w:rsidRPr="003C0612">
        <w:rPr>
          <w:kern w:val="2"/>
        </w:rPr>
        <w:t>批或核</w:t>
      </w:r>
      <w:r w:rsidRPr="003C0612">
        <w:rPr>
          <w:rFonts w:hint="eastAsia"/>
          <w:kern w:val="2"/>
        </w:rPr>
        <w:t>判</w:t>
      </w:r>
      <w:proofErr w:type="gramEnd"/>
      <w:r w:rsidRPr="003C0612">
        <w:rPr>
          <w:kern w:val="2"/>
        </w:rPr>
        <w:t>後未</w:t>
      </w:r>
      <w:proofErr w:type="gramStart"/>
      <w:r w:rsidRPr="003C0612">
        <w:rPr>
          <w:kern w:val="2"/>
        </w:rPr>
        <w:t>交下者</w:t>
      </w:r>
      <w:proofErr w:type="gramEnd"/>
      <w:r w:rsidRPr="003C0612">
        <w:rPr>
          <w:kern w:val="2"/>
        </w:rPr>
        <w:t>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（七）</w:t>
      </w:r>
      <w:r w:rsidRPr="003C0612">
        <w:rPr>
          <w:kern w:val="2"/>
        </w:rPr>
        <w:t>對逾期待辦之案件，經催辦仍未辦理者。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（八）</w:t>
      </w:r>
      <w:r w:rsidRPr="003C0612">
        <w:rPr>
          <w:kern w:val="2"/>
        </w:rPr>
        <w:t>應辦案件而簽存查或先存查再</w:t>
      </w:r>
      <w:proofErr w:type="gramStart"/>
      <w:r w:rsidRPr="003C0612">
        <w:rPr>
          <w:kern w:val="2"/>
        </w:rPr>
        <w:t>以創</w:t>
      </w:r>
      <w:r w:rsidRPr="003C0612">
        <w:rPr>
          <w:rFonts w:hint="eastAsia"/>
          <w:kern w:val="2"/>
        </w:rPr>
        <w:t>稿</w:t>
      </w:r>
      <w:r w:rsidRPr="003C0612">
        <w:rPr>
          <w:kern w:val="2"/>
        </w:rPr>
        <w:t>發文</w:t>
      </w:r>
      <w:proofErr w:type="gramEnd"/>
      <w:r w:rsidRPr="003C0612">
        <w:rPr>
          <w:kern w:val="2"/>
        </w:rPr>
        <w:t>經糾正再犯者。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（九）</w:t>
      </w:r>
      <w:proofErr w:type="gramStart"/>
      <w:r w:rsidRPr="003C0612">
        <w:rPr>
          <w:kern w:val="2"/>
        </w:rPr>
        <w:t>逕</w:t>
      </w:r>
      <w:proofErr w:type="gramEnd"/>
      <w:r w:rsidRPr="003C0612">
        <w:rPr>
          <w:kern w:val="2"/>
        </w:rPr>
        <w:t>收來文或交辦案</w:t>
      </w:r>
      <w:r w:rsidRPr="003C0612">
        <w:rPr>
          <w:rFonts w:hint="eastAsia"/>
          <w:kern w:val="2"/>
        </w:rPr>
        <w:t>件</w:t>
      </w:r>
      <w:r w:rsidRPr="003C0612">
        <w:rPr>
          <w:kern w:val="2"/>
        </w:rPr>
        <w:t>應登記而未送經文書人員登記者。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（十）發文人員未依規定檢核致遺漏發文，嚴重影響案件處理時效者。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（十一）</w:t>
      </w:r>
      <w:r w:rsidRPr="003C0612">
        <w:rPr>
          <w:kern w:val="2"/>
        </w:rPr>
        <w:t>對公文登記</w:t>
      </w:r>
      <w:proofErr w:type="gramStart"/>
      <w:r w:rsidRPr="003C0612">
        <w:rPr>
          <w:kern w:val="2"/>
        </w:rPr>
        <w:t>及查催資料</w:t>
      </w:r>
      <w:proofErr w:type="gramEnd"/>
      <w:r w:rsidRPr="003C0612">
        <w:rPr>
          <w:kern w:val="2"/>
        </w:rPr>
        <w:t>作不實之登錄或未經權責主管核准擅改紀錄者。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kern w:val="2"/>
        </w:rPr>
      </w:pPr>
      <w:r w:rsidRPr="003C0612">
        <w:rPr>
          <w:rFonts w:hint="eastAsia"/>
          <w:kern w:val="2"/>
        </w:rPr>
        <w:t>（十二）</w:t>
      </w:r>
      <w:r w:rsidRPr="003C0612">
        <w:rPr>
          <w:kern w:val="2"/>
        </w:rPr>
        <w:t>專案管制申請未符程序及實質要件而有延誤時效情形重大者。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（十三）</w:t>
      </w:r>
      <w:r w:rsidRPr="003C0612">
        <w:rPr>
          <w:kern w:val="2"/>
        </w:rPr>
        <w:t>人民或法人團體申請案件因缺漏要件無法辦理時，未一次詳加註明通知補正者。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（十四）改分文、移文、</w:t>
      </w:r>
      <w:proofErr w:type="gramStart"/>
      <w:r w:rsidRPr="003C0612">
        <w:rPr>
          <w:rFonts w:hint="eastAsia"/>
          <w:kern w:val="2"/>
        </w:rPr>
        <w:t>退文</w:t>
      </w:r>
      <w:proofErr w:type="gramEnd"/>
      <w:r w:rsidRPr="003C0612">
        <w:rPr>
          <w:rFonts w:hint="eastAsia"/>
          <w:kern w:val="2"/>
        </w:rPr>
        <w:t>，未於一個工作日內送回原分文、移文機關，嚴重影響案件處理時效</w:t>
      </w:r>
      <w:r w:rsidRPr="003C0612">
        <w:rPr>
          <w:rFonts w:hint="eastAsia"/>
          <w:kern w:val="2"/>
        </w:rPr>
        <w:lastRenderedPageBreak/>
        <w:t>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（十五）擅將公文私自或交與他人攜出、傳送及閱覽致洩漏機密者。</w:t>
      </w:r>
    </w:p>
    <w:p w:rsidR="003C0612" w:rsidRPr="003C0612" w:rsidRDefault="003C0612" w:rsidP="003C0612">
      <w:pPr>
        <w:adjustRightInd w:val="0"/>
        <w:snapToGrid w:val="0"/>
        <w:ind w:leftChars="250" w:left="1600" w:hangingChars="250" w:hanging="800"/>
        <w:jc w:val="both"/>
        <w:rPr>
          <w:rFonts w:hint="eastAsia"/>
          <w:kern w:val="2"/>
        </w:rPr>
      </w:pPr>
      <w:r w:rsidRPr="003C0612">
        <w:rPr>
          <w:rFonts w:hint="eastAsia"/>
          <w:kern w:val="2"/>
        </w:rPr>
        <w:t>（十六）</w:t>
      </w:r>
      <w:r w:rsidRPr="003C0612">
        <w:rPr>
          <w:kern w:val="2"/>
        </w:rPr>
        <w:t>違反本</w:t>
      </w:r>
      <w:r w:rsidRPr="003C0612">
        <w:rPr>
          <w:rFonts w:hint="eastAsia"/>
          <w:kern w:val="2"/>
        </w:rPr>
        <w:t>要點</w:t>
      </w:r>
      <w:r w:rsidRPr="003C0612">
        <w:rPr>
          <w:kern w:val="2"/>
        </w:rPr>
        <w:t>其他規定而情節重大者</w:t>
      </w:r>
      <w:r w:rsidRPr="003C0612">
        <w:rPr>
          <w:rFonts w:hint="eastAsia"/>
          <w:kern w:val="2"/>
        </w:rPr>
        <w:t>。</w:t>
      </w:r>
    </w:p>
    <w:p w:rsidR="003C0612" w:rsidRPr="003C0612" w:rsidRDefault="003C0612"/>
    <w:sectPr w:rsidR="003C0612" w:rsidRPr="003C0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12"/>
    <w:rsid w:val="003C0612"/>
    <w:rsid w:val="004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12"/>
    <w:pPr>
      <w:widowControl w:val="0"/>
    </w:pPr>
    <w:rPr>
      <w:rFonts w:ascii="標楷體" w:eastAsia="標楷體" w:hAnsi="標楷體" w:cs="Times New Roman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C0612"/>
    <w:pPr>
      <w:spacing w:after="120"/>
      <w:ind w:leftChars="200" w:left="480"/>
    </w:pPr>
    <w:rPr>
      <w:rFonts w:ascii="Times New Roman" w:eastAsia="新細明體" w:hAnsi="Times New Roman"/>
      <w:kern w:val="2"/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C0612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12"/>
    <w:pPr>
      <w:widowControl w:val="0"/>
    </w:pPr>
    <w:rPr>
      <w:rFonts w:ascii="標楷體" w:eastAsia="標楷體" w:hAnsi="標楷體" w:cs="Times New Roman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C0612"/>
    <w:pPr>
      <w:spacing w:after="120"/>
      <w:ind w:leftChars="200" w:left="480"/>
    </w:pPr>
    <w:rPr>
      <w:rFonts w:ascii="Times New Roman" w:eastAsia="新細明體" w:hAnsi="Times New Roman"/>
      <w:kern w:val="2"/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C0612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2014-03-24T04:13:00Z</dcterms:created>
  <dcterms:modified xsi:type="dcterms:W3CDTF">2014-03-24T04:20:00Z</dcterms:modified>
</cp:coreProperties>
</file>